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1144E2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1144E2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560AE0AC" wp14:editId="7A5A0650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E2" w:rsidRPr="001144E2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Pr="00E765A0" w:rsidRDefault="00C27A6B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>ТЕЛЕЖКА</w:t>
      </w:r>
      <w:r w:rsidR="00E765A0">
        <w:rPr>
          <w:rFonts w:ascii="DaxlineCyrLF-Medium" w:hAnsi="DaxlineCyrLF-Medium" w:cs="Tahoma"/>
          <w:b/>
          <w:sz w:val="48"/>
          <w:szCs w:val="48"/>
        </w:rPr>
        <w:t xml:space="preserve"> </w:t>
      </w:r>
      <w:r>
        <w:rPr>
          <w:rFonts w:ascii="DaxlineCyrLF-Medium" w:hAnsi="DaxlineCyrLF-Medium" w:cs="Tahoma"/>
          <w:b/>
          <w:sz w:val="48"/>
          <w:szCs w:val="48"/>
          <w:lang w:val="en-US"/>
        </w:rPr>
        <w:t>HT</w:t>
      </w:r>
    </w:p>
    <w:p w:rsidR="001D1E25" w:rsidRPr="00E765A0" w:rsidRDefault="00E765A0" w:rsidP="001D1E25">
      <w:pPr>
        <w:jc w:val="center"/>
        <w:rPr>
          <w:b/>
          <w:sz w:val="36"/>
          <w:szCs w:val="36"/>
        </w:rPr>
      </w:pPr>
      <w:r w:rsidRPr="00E765A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ТЕЛЕЖКА</w:t>
      </w:r>
      <w:r w:rsidR="00C27A6B">
        <w:rPr>
          <w:b/>
          <w:sz w:val="36"/>
          <w:szCs w:val="36"/>
        </w:rPr>
        <w:t xml:space="preserve"> ХОЛОСТАЯ</w:t>
      </w:r>
      <w:r>
        <w:rPr>
          <w:b/>
          <w:sz w:val="36"/>
          <w:szCs w:val="36"/>
        </w:rPr>
        <w:t xml:space="preserve"> К ТАЛИ РА)</w:t>
      </w:r>
    </w:p>
    <w:p w:rsidR="001D1E25" w:rsidRDefault="00642F72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2393B369" wp14:editId="74567DBC">
            <wp:simplePos x="0" y="0"/>
            <wp:positionH relativeFrom="page">
              <wp:align>center</wp:align>
            </wp:positionH>
            <wp:positionV relativeFrom="page">
              <wp:posOffset>4867275</wp:posOffset>
            </wp:positionV>
            <wp:extent cx="4095115" cy="4257675"/>
            <wp:effectExtent l="0" t="0" r="63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холостая умень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511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DD05D6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DD05D6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C36B88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DD05D6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DD05D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84C9B" w:rsidP="00DD05D6">
      <w:pPr>
        <w:pStyle w:val="a7"/>
        <w:spacing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DD05D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DD05D6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DD05D6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144E2" w:rsidRPr="009C529E" w:rsidRDefault="001144E2" w:rsidP="001144E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241B1A" w:rsidRDefault="00241B1A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23705" w:rsidRDefault="00423705" w:rsidP="00423705">
      <w:pPr>
        <w:tabs>
          <w:tab w:val="num" w:pos="3630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23705">
        <w:rPr>
          <w:rFonts w:ascii="Tahoma" w:hAnsi="Tahoma" w:cs="Tahoma"/>
          <w:sz w:val="18"/>
          <w:szCs w:val="18"/>
        </w:rPr>
        <w:t xml:space="preserve">Тележка </w:t>
      </w:r>
      <w:r w:rsidR="002403F8">
        <w:rPr>
          <w:rFonts w:ascii="Tahoma" w:hAnsi="Tahoma" w:cs="Tahoma"/>
          <w:sz w:val="18"/>
          <w:szCs w:val="18"/>
        </w:rPr>
        <w:t xml:space="preserve">электрическая </w:t>
      </w:r>
      <w:r w:rsidR="002403F8">
        <w:rPr>
          <w:rFonts w:ascii="Tahoma" w:hAnsi="Tahoma" w:cs="Tahoma"/>
          <w:sz w:val="18"/>
          <w:szCs w:val="18"/>
          <w:lang w:val="en-US"/>
        </w:rPr>
        <w:t>TOR</w:t>
      </w:r>
      <w:r w:rsidR="002403F8" w:rsidRPr="002403F8">
        <w:rPr>
          <w:rFonts w:ascii="Tahoma" w:hAnsi="Tahoma" w:cs="Tahoma"/>
          <w:sz w:val="18"/>
          <w:szCs w:val="18"/>
        </w:rPr>
        <w:t xml:space="preserve"> </w:t>
      </w:r>
      <w:r w:rsidR="002403F8">
        <w:rPr>
          <w:rFonts w:ascii="Tahoma" w:hAnsi="Tahoma" w:cs="Tahoma"/>
          <w:sz w:val="18"/>
          <w:szCs w:val="18"/>
          <w:lang w:val="en-US"/>
        </w:rPr>
        <w:t>HD</w:t>
      </w:r>
      <w:r w:rsidR="002403F8" w:rsidRPr="002403F8">
        <w:rPr>
          <w:rFonts w:ascii="Tahoma" w:hAnsi="Tahoma" w:cs="Tahoma"/>
          <w:sz w:val="18"/>
          <w:szCs w:val="18"/>
        </w:rPr>
        <w:t xml:space="preserve"> </w:t>
      </w:r>
      <w:r w:rsidR="002403F8">
        <w:rPr>
          <w:rFonts w:ascii="Tahoma" w:hAnsi="Tahoma" w:cs="Tahoma"/>
          <w:sz w:val="18"/>
          <w:szCs w:val="18"/>
        </w:rPr>
        <w:t>позволяет сделать тали РА передвижными. Передвижение тележки для ворот осуществляется по двутавровой балке, установленной на перекрытиях, что повышает функциональность самой тали, поскольку груз можно не только поднять, но переместить в отведенное для него, не снимая с тали.</w:t>
      </w:r>
    </w:p>
    <w:p w:rsidR="002403F8" w:rsidRDefault="006E3D09" w:rsidP="00423705">
      <w:pPr>
        <w:tabs>
          <w:tab w:val="num" w:pos="3630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Механизм передвижения приводится в движение вручную.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351B90" w:rsidRPr="00351B90" w:rsidRDefault="00351B90" w:rsidP="00351B90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sz w:val="18"/>
          <w:szCs w:val="18"/>
        </w:rPr>
      </w:pPr>
      <w:r w:rsidRPr="00351B90">
        <w:rPr>
          <w:rFonts w:ascii="Tahoma" w:hAnsi="Tahoma" w:cs="Tahoma"/>
          <w:sz w:val="18"/>
          <w:szCs w:val="18"/>
        </w:rPr>
        <w:t xml:space="preserve">Тележка для тали состоит из двух металлических щек, соединенных болтами, двух пар роликов, закрепленных на концах щек и предназначенных для фиксации на монорельсе и передвижения по нему, а также электродвигателя и пульта управления. Механизм перемещения приводится в движение </w:t>
      </w:r>
      <w:r w:rsidR="006E3D09">
        <w:rPr>
          <w:rFonts w:ascii="Tahoma" w:hAnsi="Tahoma" w:cs="Tahoma"/>
          <w:sz w:val="18"/>
          <w:szCs w:val="18"/>
        </w:rPr>
        <w:t>вручную.</w:t>
      </w:r>
      <w:r w:rsidRPr="00351B90">
        <w:rPr>
          <w:rFonts w:ascii="Tahoma" w:hAnsi="Tahoma" w:cs="Tahoma"/>
          <w:sz w:val="18"/>
          <w:szCs w:val="18"/>
        </w:rPr>
        <w:t xml:space="preserve"> </w:t>
      </w:r>
    </w:p>
    <w:p w:rsidR="009C3FB5" w:rsidRDefault="00FD1E55" w:rsidP="00DD05D6">
      <w:pPr>
        <w:tabs>
          <w:tab w:val="left" w:pos="1845"/>
        </w:tabs>
        <w:spacing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2827" w:type="pct"/>
        <w:jc w:val="center"/>
        <w:tblLook w:val="04A0" w:firstRow="1" w:lastRow="0" w:firstColumn="1" w:lastColumn="0" w:noHBand="0" w:noVBand="1"/>
      </w:tblPr>
      <w:tblGrid>
        <w:gridCol w:w="908"/>
        <w:gridCol w:w="1825"/>
        <w:gridCol w:w="1143"/>
        <w:gridCol w:w="1296"/>
        <w:gridCol w:w="1009"/>
      </w:tblGrid>
      <w:tr w:rsidR="003A24F7" w:rsidRPr="004B4270" w:rsidTr="003A24F7">
        <w:trPr>
          <w:trHeight w:val="579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A24F7" w:rsidRPr="004B4270" w:rsidRDefault="003A24F7" w:rsidP="00576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24F7" w:rsidRPr="004B4270" w:rsidRDefault="003A24F7" w:rsidP="00576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рузоподъемность, 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24F7" w:rsidRPr="00DE1E63" w:rsidRDefault="003A24F7" w:rsidP="00576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Тип тали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24F7" w:rsidRPr="004B4270" w:rsidRDefault="003A24F7" w:rsidP="00576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вутавровая балка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4F7" w:rsidRPr="004B4270" w:rsidRDefault="003A24F7" w:rsidP="00576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асса, кг</w:t>
            </w:r>
          </w:p>
        </w:tc>
      </w:tr>
      <w:tr w:rsidR="003A24F7" w:rsidRPr="00576F56" w:rsidTr="003A24F7">
        <w:trPr>
          <w:trHeight w:val="3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hAnsi="Tahoma" w:cs="Tahoma"/>
                <w:sz w:val="18"/>
                <w:szCs w:val="18"/>
              </w:rPr>
              <w:t>11105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125/250</w:t>
            </w:r>
          </w:p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250/500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68-110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3A24F7" w:rsidRPr="00576F56" w:rsidTr="003A24F7">
        <w:trPr>
          <w:trHeight w:val="3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hAnsi="Tahoma" w:cs="Tahoma"/>
                <w:sz w:val="18"/>
                <w:szCs w:val="18"/>
              </w:rPr>
              <w:t>11110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500/1000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68-110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7" w:rsidRPr="00576F56" w:rsidRDefault="003A24F7" w:rsidP="00351B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:rsidR="004B4270" w:rsidRDefault="004B4270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576F56" w:rsidRDefault="00576F56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B2454F" w:rsidRDefault="00B2454F" w:rsidP="00B3094A">
      <w:pPr>
        <w:jc w:val="center"/>
        <w:rPr>
          <w:rFonts w:ascii="Tahoma" w:hAnsi="Tahoma" w:cs="Tahoma"/>
          <w:sz w:val="18"/>
          <w:szCs w:val="18"/>
        </w:rPr>
      </w:pPr>
    </w:p>
    <w:p w:rsidR="00C36B88" w:rsidRDefault="00C36B88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FB4C94" w:rsidRPr="00FB4C94" w:rsidRDefault="00FB4C94" w:rsidP="00FB4C94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FB4C94">
        <w:rPr>
          <w:rFonts w:ascii="Tahoma" w:hAnsi="Tahoma" w:cs="Tahoma"/>
          <w:sz w:val="18"/>
          <w:szCs w:val="18"/>
        </w:rPr>
        <w:t xml:space="preserve">Для осуществления перемещения тележку необходимо распаковать и закрепить на монорельсовом пути. После этого испытать работу с грузом, переместив его на расстояние 200-300 мм. Если механизм функционирует нормально, то можно продолжать работу. 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Техническое обслуживание заключается во внешнем осмотре тележки и смазке.</w:t>
      </w:r>
    </w:p>
    <w:p w:rsidR="00BB120C" w:rsidRPr="007751C9" w:rsidRDefault="00BB120C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 xml:space="preserve">Раз в месяц смазывать </w:t>
      </w:r>
      <w:r w:rsidR="00FB4C94">
        <w:rPr>
          <w:rFonts w:ascii="Tahoma" w:hAnsi="Tahoma" w:cs="Tahoma"/>
          <w:color w:val="000000"/>
          <w:sz w:val="18"/>
        </w:rPr>
        <w:t xml:space="preserve">редуктор </w:t>
      </w:r>
      <w:r>
        <w:rPr>
          <w:rFonts w:ascii="Tahoma" w:hAnsi="Tahoma" w:cs="Tahoma"/>
          <w:color w:val="000000"/>
          <w:sz w:val="18"/>
        </w:rPr>
        <w:t xml:space="preserve">твердыми </w:t>
      </w:r>
      <w:r w:rsidR="00FB4C94">
        <w:rPr>
          <w:rFonts w:ascii="Tahoma" w:hAnsi="Tahoma" w:cs="Tahoma"/>
          <w:color w:val="000000"/>
          <w:sz w:val="18"/>
        </w:rPr>
        <w:t>сортами</w:t>
      </w:r>
      <w:r>
        <w:rPr>
          <w:rFonts w:ascii="Tahoma" w:hAnsi="Tahoma" w:cs="Tahoma"/>
          <w:color w:val="000000"/>
          <w:sz w:val="18"/>
        </w:rPr>
        <w:t xml:space="preserve"> смазки: литол, солидол или графитовая смазка.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внешнем осмотре обратить внимание на состояние беговой цепи, грузовых колес, редуктора, отсутствие повреждений зуба.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износе цепи и колес произведите их браковку.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Удаляйте загрязнения с тележки после завершения работы.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Протирайте все части тележки кероси</w:t>
      </w:r>
      <w:r w:rsidR="001619C1">
        <w:rPr>
          <w:rFonts w:ascii="Tahoma" w:hAnsi="Tahoma" w:cs="Tahoma"/>
          <w:color w:val="000000"/>
          <w:sz w:val="18"/>
        </w:rPr>
        <w:t>ном и регулярно смазывайте пере</w:t>
      </w:r>
      <w:r w:rsidRPr="007751C9">
        <w:rPr>
          <w:rFonts w:ascii="Tahoma" w:hAnsi="Tahoma" w:cs="Tahoma"/>
          <w:color w:val="000000"/>
          <w:sz w:val="18"/>
        </w:rPr>
        <w:t>даточные механизмы и подшипники густой смазкой, следите чтобы эти части всегда были смазаны.</w:t>
      </w:r>
    </w:p>
    <w:p w:rsidR="007751C9" w:rsidRDefault="007751C9" w:rsidP="005C606C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Тележка до эксплуатации должна храниться в упакованном виде в тарном ящике в закрытом помещении или под навесом.</w:t>
      </w:r>
    </w:p>
    <w:p w:rsidR="006D0D53" w:rsidRPr="006D0D53" w:rsidRDefault="001619C1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Тележка</w:t>
      </w:r>
      <w:r w:rsidR="006D0D53" w:rsidRPr="006D0D53">
        <w:rPr>
          <w:rFonts w:ascii="Tahoma" w:hAnsi="Tahoma" w:cs="Tahoma"/>
          <w:sz w:val="18"/>
          <w:szCs w:val="18"/>
        </w:rPr>
        <w:t xml:space="preserve"> до расконсервации должна храниться в закрытом помещении или под навесом.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 xml:space="preserve">Консервация </w:t>
      </w:r>
      <w:r w:rsidR="001619C1">
        <w:rPr>
          <w:rFonts w:ascii="Tahoma" w:hAnsi="Tahoma" w:cs="Tahoma"/>
          <w:sz w:val="18"/>
          <w:szCs w:val="18"/>
        </w:rPr>
        <w:t>тележки</w:t>
      </w:r>
      <w:r w:rsidRPr="006D0D53">
        <w:rPr>
          <w:rFonts w:ascii="Tahoma" w:hAnsi="Tahoma" w:cs="Tahoma"/>
          <w:sz w:val="18"/>
          <w:szCs w:val="18"/>
        </w:rPr>
        <w:t xml:space="preserve"> изготовителем обеспечивает ее защиту от коррозии 1 год.</w:t>
      </w:r>
    </w:p>
    <w:p w:rsidR="006D0D53" w:rsidRPr="006D0D53" w:rsidRDefault="005C606C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Расконсервированная </w:t>
      </w:r>
      <w:r w:rsidR="001619C1">
        <w:rPr>
          <w:rFonts w:ascii="Tahoma" w:hAnsi="Tahoma" w:cs="Tahoma"/>
          <w:sz w:val="18"/>
          <w:szCs w:val="18"/>
        </w:rPr>
        <w:t>тележка</w:t>
      </w:r>
      <w:r>
        <w:rPr>
          <w:rFonts w:ascii="Tahoma" w:hAnsi="Tahoma" w:cs="Tahoma"/>
          <w:sz w:val="18"/>
          <w:szCs w:val="18"/>
        </w:rPr>
        <w:t xml:space="preserve"> вовремя, когда она не используется, </w:t>
      </w:r>
      <w:r w:rsidR="006D0D53" w:rsidRPr="006D0D53">
        <w:rPr>
          <w:rFonts w:ascii="Tahoma" w:hAnsi="Tahoma" w:cs="Tahoma"/>
          <w:sz w:val="18"/>
          <w:szCs w:val="18"/>
        </w:rPr>
        <w:t>должна храниться в закрытом помещении или под навесом на деревянном поддоне или стеллаже.</w:t>
      </w:r>
    </w:p>
    <w:p w:rsidR="006D0D53" w:rsidRPr="006D0D53" w:rsidRDefault="001619C1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транспортировки оборудование должно</w:t>
      </w:r>
      <w:r w:rsidR="006D0D53">
        <w:rPr>
          <w:rFonts w:ascii="Tahoma" w:hAnsi="Tahoma" w:cs="Tahoma"/>
          <w:sz w:val="18"/>
          <w:szCs w:val="18"/>
        </w:rPr>
        <w:t xml:space="preserve"> быть законсервирован</w:t>
      </w:r>
      <w:r>
        <w:rPr>
          <w:rFonts w:ascii="Tahoma" w:hAnsi="Tahoma" w:cs="Tahoma"/>
          <w:sz w:val="18"/>
          <w:szCs w:val="18"/>
        </w:rPr>
        <w:t>о</w:t>
      </w:r>
      <w:r w:rsidR="006D0D53">
        <w:rPr>
          <w:rFonts w:ascii="Tahoma" w:hAnsi="Tahoma" w:cs="Tahoma"/>
          <w:sz w:val="18"/>
          <w:szCs w:val="18"/>
        </w:rPr>
        <w:t xml:space="preserve"> и упакован</w:t>
      </w:r>
      <w:r>
        <w:rPr>
          <w:rFonts w:ascii="Tahoma" w:hAnsi="Tahoma" w:cs="Tahoma"/>
          <w:sz w:val="18"/>
          <w:szCs w:val="18"/>
        </w:rPr>
        <w:t>о</w:t>
      </w:r>
      <w:r w:rsidR="006D0D53">
        <w:rPr>
          <w:rFonts w:ascii="Tahoma" w:hAnsi="Tahoma" w:cs="Tahoma"/>
          <w:sz w:val="18"/>
          <w:szCs w:val="18"/>
        </w:rPr>
        <w:t xml:space="preserve"> </w:t>
      </w:r>
      <w:r w:rsidR="006D0D53" w:rsidRPr="006D0D53">
        <w:rPr>
          <w:rFonts w:ascii="Tahoma" w:hAnsi="Tahoma" w:cs="Tahoma"/>
          <w:sz w:val="18"/>
          <w:szCs w:val="18"/>
        </w:rPr>
        <w:t>в жесткую тару.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превышение нагрузки и использование тележки для перемещения людей.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проходить или работать под грузом при его подъеме.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</w:t>
      </w:r>
      <w:r>
        <w:rPr>
          <w:rFonts w:ascii="Tahoma" w:hAnsi="Tahoma" w:cs="Tahoma"/>
          <w:sz w:val="18"/>
        </w:rPr>
        <w:t xml:space="preserve"> </w:t>
      </w:r>
      <w:r w:rsidRPr="003F2465">
        <w:rPr>
          <w:rFonts w:ascii="Tahoma" w:hAnsi="Tahoma" w:cs="Tahoma"/>
          <w:sz w:val="18"/>
        </w:rPr>
        <w:t>на весу.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029A478D" wp14:editId="73B797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465">
        <w:rPr>
          <w:rFonts w:ascii="Tahoma" w:hAnsi="Tahoma" w:cs="Tahoma"/>
          <w:sz w:val="18"/>
        </w:rPr>
        <w:t>Запрещается работа с оттянутым грузом.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Немедленно остановите работу, если цепь не тянется или сила тяги цепи превышает показатель при нормальной эксплуатации.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тяните цепь под углом к пластине маховика ручной подачи, чтобы не допустить спутывания цепи.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подтаскивание груза по земле или полу.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Подшипник и шестерню следует регулярно смазывать, а также регулярно проверять, затянуты ли болты и гайки.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После окончания работы или в перерыве груз не должен оставаться в подвешенном состоянии.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проводить ремонт механизма при подвешенном грузе.</w:t>
      </w:r>
    </w:p>
    <w:p w:rsidR="00FB4C94" w:rsidRDefault="00FB4C94" w:rsidP="00FB4C94">
      <w:pPr>
        <w:pStyle w:val="a3"/>
        <w:spacing w:after="0" w:line="240" w:lineRule="auto"/>
        <w:ind w:left="1134" w:right="141"/>
        <w:jc w:val="both"/>
        <w:rPr>
          <w:rFonts w:ascii="Tahoma" w:hAnsi="Tahoma" w:cs="Tahoma"/>
          <w:sz w:val="18"/>
        </w:rPr>
      </w:pPr>
    </w:p>
    <w:p w:rsidR="001144E2" w:rsidRPr="005D4131" w:rsidRDefault="001144E2" w:rsidP="001144E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1144E2" w:rsidRDefault="001144E2" w:rsidP="001144E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144E2" w:rsidRPr="00B017D6" w:rsidRDefault="001144E2" w:rsidP="001144E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144E2" w:rsidRDefault="001144E2" w:rsidP="001144E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144E2" w:rsidRDefault="001144E2" w:rsidP="001144E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144E2" w:rsidRDefault="001144E2" w:rsidP="001144E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144E2" w:rsidRPr="00E94B8F" w:rsidRDefault="001144E2" w:rsidP="001144E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4320" behindDoc="0" locked="0" layoutInCell="1" allowOverlap="1" wp14:anchorId="0016161C" wp14:editId="6A5ADAF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144E2" w:rsidRPr="00E94B8F" w:rsidRDefault="001144E2" w:rsidP="001144E2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144E2" w:rsidRDefault="001144E2" w:rsidP="001144E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144E2" w:rsidRDefault="001144E2" w:rsidP="001144E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1144E2" w:rsidRPr="009A52B8" w:rsidRDefault="001144E2" w:rsidP="001144E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1144E2" w:rsidRPr="00D8382B" w:rsidRDefault="001144E2" w:rsidP="001144E2">
      <w:pPr>
        <w:pStyle w:val="a3"/>
        <w:numPr>
          <w:ilvl w:val="0"/>
          <w:numId w:val="3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144E2" w:rsidRPr="00D8382B" w:rsidRDefault="001144E2" w:rsidP="001144E2">
      <w:pPr>
        <w:pStyle w:val="a3"/>
        <w:numPr>
          <w:ilvl w:val="0"/>
          <w:numId w:val="3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144E2" w:rsidRPr="00D8382B" w:rsidRDefault="001144E2" w:rsidP="001144E2">
      <w:pPr>
        <w:pStyle w:val="a3"/>
        <w:numPr>
          <w:ilvl w:val="0"/>
          <w:numId w:val="3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144E2" w:rsidRPr="00D8382B" w:rsidRDefault="001144E2" w:rsidP="001144E2">
      <w:pPr>
        <w:pStyle w:val="a3"/>
        <w:numPr>
          <w:ilvl w:val="0"/>
          <w:numId w:val="3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144E2" w:rsidRPr="003F2603" w:rsidRDefault="001144E2" w:rsidP="001144E2">
      <w:pPr>
        <w:pStyle w:val="a3"/>
        <w:numPr>
          <w:ilvl w:val="0"/>
          <w:numId w:val="34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144E2" w:rsidRDefault="001144E2" w:rsidP="001144E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144E2" w:rsidRDefault="001144E2" w:rsidP="001144E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144E2" w:rsidRPr="009C529E" w:rsidRDefault="001144E2" w:rsidP="001144E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5344" behindDoc="0" locked="0" layoutInCell="1" allowOverlap="1" wp14:anchorId="3A8EB7FB" wp14:editId="1034EA8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144E2" w:rsidRDefault="001144E2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144E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1144E2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4633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4633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4633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4633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4633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4633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24633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24633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246337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46337" w:rsidRPr="00E47F49" w:rsidTr="00246337">
        <w:trPr>
          <w:trHeight w:val="567"/>
        </w:trPr>
        <w:tc>
          <w:tcPr>
            <w:tcW w:w="643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46337" w:rsidRPr="00E47F49" w:rsidTr="00246337">
        <w:trPr>
          <w:trHeight w:val="567"/>
        </w:trPr>
        <w:tc>
          <w:tcPr>
            <w:tcW w:w="643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46337" w:rsidRPr="00E47F49" w:rsidTr="00246337">
        <w:trPr>
          <w:trHeight w:val="567"/>
        </w:trPr>
        <w:tc>
          <w:tcPr>
            <w:tcW w:w="643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46337" w:rsidRPr="00E47F49" w:rsidRDefault="0024633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249F" w:rsidRPr="00E47F49" w:rsidTr="00246337">
        <w:trPr>
          <w:trHeight w:val="567"/>
        </w:trPr>
        <w:tc>
          <w:tcPr>
            <w:tcW w:w="643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57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7249F" w:rsidRPr="00E47F49" w:rsidRDefault="0077249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1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85" w:rsidRDefault="003C6485" w:rsidP="001D1E25">
      <w:pPr>
        <w:spacing w:after="0" w:line="240" w:lineRule="auto"/>
      </w:pPr>
      <w:r>
        <w:separator/>
      </w:r>
    </w:p>
  </w:endnote>
  <w:endnote w:type="continuationSeparator" w:id="0">
    <w:p w:rsidR="003C6485" w:rsidRDefault="003C6485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77249F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85" w:rsidRDefault="003C6485" w:rsidP="001D1E25">
      <w:pPr>
        <w:spacing w:after="0" w:line="240" w:lineRule="auto"/>
      </w:pPr>
      <w:r>
        <w:separator/>
      </w:r>
    </w:p>
  </w:footnote>
  <w:footnote w:type="continuationSeparator" w:id="0">
    <w:p w:rsidR="003C6485" w:rsidRDefault="003C6485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64874"/>
    <w:multiLevelType w:val="hybridMultilevel"/>
    <w:tmpl w:val="889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26BFA"/>
    <w:multiLevelType w:val="hybridMultilevel"/>
    <w:tmpl w:val="2B722200"/>
    <w:lvl w:ilvl="0" w:tplc="2A6AAA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68EF"/>
    <w:multiLevelType w:val="hybridMultilevel"/>
    <w:tmpl w:val="518028DA"/>
    <w:lvl w:ilvl="0" w:tplc="2A6AAA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67675D"/>
    <w:multiLevelType w:val="hybridMultilevel"/>
    <w:tmpl w:val="EDF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1B83566"/>
    <w:multiLevelType w:val="hybridMultilevel"/>
    <w:tmpl w:val="A58A4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8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0"/>
  </w:num>
  <w:num w:numId="14">
    <w:abstractNumId w:val="1"/>
  </w:num>
  <w:num w:numId="15">
    <w:abstractNumId w:val="33"/>
  </w:num>
  <w:num w:numId="16">
    <w:abstractNumId w:val="32"/>
  </w:num>
  <w:num w:numId="17">
    <w:abstractNumId w:val="10"/>
  </w:num>
  <w:num w:numId="18">
    <w:abstractNumId w:val="11"/>
  </w:num>
  <w:num w:numId="1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9"/>
  </w:num>
  <w:num w:numId="23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6"/>
  </w:num>
  <w:num w:numId="28">
    <w:abstractNumId w:val="18"/>
  </w:num>
  <w:num w:numId="29">
    <w:abstractNumId w:val="26"/>
  </w:num>
  <w:num w:numId="30">
    <w:abstractNumId w:val="7"/>
  </w:num>
  <w:num w:numId="31">
    <w:abstractNumId w:val="16"/>
  </w:num>
  <w:num w:numId="32">
    <w:abstractNumId w:val="14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64693"/>
    <w:rsid w:val="000C4220"/>
    <w:rsid w:val="000D5257"/>
    <w:rsid w:val="000F3AD5"/>
    <w:rsid w:val="000F71D6"/>
    <w:rsid w:val="001144E2"/>
    <w:rsid w:val="00121B5D"/>
    <w:rsid w:val="00145ECB"/>
    <w:rsid w:val="001619C1"/>
    <w:rsid w:val="001725F1"/>
    <w:rsid w:val="00194069"/>
    <w:rsid w:val="001B184D"/>
    <w:rsid w:val="001D1E25"/>
    <w:rsid w:val="001E2318"/>
    <w:rsid w:val="002403F8"/>
    <w:rsid w:val="00241B1A"/>
    <w:rsid w:val="00246337"/>
    <w:rsid w:val="002551A2"/>
    <w:rsid w:val="002641B1"/>
    <w:rsid w:val="00275E18"/>
    <w:rsid w:val="00277138"/>
    <w:rsid w:val="00277FF7"/>
    <w:rsid w:val="002913E9"/>
    <w:rsid w:val="002E2AFE"/>
    <w:rsid w:val="002F5E03"/>
    <w:rsid w:val="003060F8"/>
    <w:rsid w:val="00350574"/>
    <w:rsid w:val="0035153F"/>
    <w:rsid w:val="00351B90"/>
    <w:rsid w:val="00352091"/>
    <w:rsid w:val="00355745"/>
    <w:rsid w:val="003818BD"/>
    <w:rsid w:val="00394E23"/>
    <w:rsid w:val="003A24F7"/>
    <w:rsid w:val="003B075F"/>
    <w:rsid w:val="003B7D08"/>
    <w:rsid w:val="003C6485"/>
    <w:rsid w:val="003F2465"/>
    <w:rsid w:val="003F6E38"/>
    <w:rsid w:val="00402248"/>
    <w:rsid w:val="004125E1"/>
    <w:rsid w:val="00414277"/>
    <w:rsid w:val="00423705"/>
    <w:rsid w:val="00451999"/>
    <w:rsid w:val="004565A5"/>
    <w:rsid w:val="00462F3D"/>
    <w:rsid w:val="004708D9"/>
    <w:rsid w:val="00472557"/>
    <w:rsid w:val="0049575A"/>
    <w:rsid w:val="004A3A30"/>
    <w:rsid w:val="004B4270"/>
    <w:rsid w:val="004C31C7"/>
    <w:rsid w:val="004C77EE"/>
    <w:rsid w:val="004F01E2"/>
    <w:rsid w:val="004F1870"/>
    <w:rsid w:val="004F288C"/>
    <w:rsid w:val="004F79EF"/>
    <w:rsid w:val="005045F1"/>
    <w:rsid w:val="00530998"/>
    <w:rsid w:val="005356DF"/>
    <w:rsid w:val="0054725B"/>
    <w:rsid w:val="0055305B"/>
    <w:rsid w:val="00576F56"/>
    <w:rsid w:val="00581920"/>
    <w:rsid w:val="00581B8E"/>
    <w:rsid w:val="005829F5"/>
    <w:rsid w:val="005832CD"/>
    <w:rsid w:val="005916A7"/>
    <w:rsid w:val="00591C42"/>
    <w:rsid w:val="00592BB8"/>
    <w:rsid w:val="005930CB"/>
    <w:rsid w:val="005B4391"/>
    <w:rsid w:val="005C606C"/>
    <w:rsid w:val="005D4131"/>
    <w:rsid w:val="00624D01"/>
    <w:rsid w:val="006318C1"/>
    <w:rsid w:val="00642F72"/>
    <w:rsid w:val="00661C37"/>
    <w:rsid w:val="006816CE"/>
    <w:rsid w:val="00682871"/>
    <w:rsid w:val="00684747"/>
    <w:rsid w:val="0068527D"/>
    <w:rsid w:val="006A41C5"/>
    <w:rsid w:val="006B542C"/>
    <w:rsid w:val="006B6723"/>
    <w:rsid w:val="006D0BFB"/>
    <w:rsid w:val="006D0D53"/>
    <w:rsid w:val="006D6FF1"/>
    <w:rsid w:val="006E3D09"/>
    <w:rsid w:val="006E780B"/>
    <w:rsid w:val="006F6C14"/>
    <w:rsid w:val="006F7EB3"/>
    <w:rsid w:val="007118B1"/>
    <w:rsid w:val="00712463"/>
    <w:rsid w:val="0073432C"/>
    <w:rsid w:val="007536F4"/>
    <w:rsid w:val="0077249F"/>
    <w:rsid w:val="0077345B"/>
    <w:rsid w:val="007751C9"/>
    <w:rsid w:val="00776F6B"/>
    <w:rsid w:val="00776FDF"/>
    <w:rsid w:val="007772CA"/>
    <w:rsid w:val="0078575C"/>
    <w:rsid w:val="007A2ED7"/>
    <w:rsid w:val="007B00E4"/>
    <w:rsid w:val="007B025A"/>
    <w:rsid w:val="007D38A2"/>
    <w:rsid w:val="007F5FED"/>
    <w:rsid w:val="00820EC4"/>
    <w:rsid w:val="00863C94"/>
    <w:rsid w:val="008742B4"/>
    <w:rsid w:val="00886350"/>
    <w:rsid w:val="00886EEF"/>
    <w:rsid w:val="00897BA4"/>
    <w:rsid w:val="00897EA7"/>
    <w:rsid w:val="008B4D0F"/>
    <w:rsid w:val="008B6235"/>
    <w:rsid w:val="008C3043"/>
    <w:rsid w:val="008C395C"/>
    <w:rsid w:val="008C3E9F"/>
    <w:rsid w:val="008D1580"/>
    <w:rsid w:val="008E2C30"/>
    <w:rsid w:val="008F2658"/>
    <w:rsid w:val="008F6211"/>
    <w:rsid w:val="00901AF1"/>
    <w:rsid w:val="00903BE8"/>
    <w:rsid w:val="009079B6"/>
    <w:rsid w:val="00910A5B"/>
    <w:rsid w:val="009304EE"/>
    <w:rsid w:val="009518DA"/>
    <w:rsid w:val="009521B0"/>
    <w:rsid w:val="009532FA"/>
    <w:rsid w:val="00996CD3"/>
    <w:rsid w:val="00996FCB"/>
    <w:rsid w:val="009C1ED3"/>
    <w:rsid w:val="009C3FB5"/>
    <w:rsid w:val="009C44BB"/>
    <w:rsid w:val="009D5809"/>
    <w:rsid w:val="009F49E3"/>
    <w:rsid w:val="00A014FD"/>
    <w:rsid w:val="00A04C09"/>
    <w:rsid w:val="00A244FA"/>
    <w:rsid w:val="00A31412"/>
    <w:rsid w:val="00A53AF1"/>
    <w:rsid w:val="00A77FAC"/>
    <w:rsid w:val="00A84C9B"/>
    <w:rsid w:val="00AA34CD"/>
    <w:rsid w:val="00AB5B96"/>
    <w:rsid w:val="00AF6538"/>
    <w:rsid w:val="00B21CA3"/>
    <w:rsid w:val="00B2454F"/>
    <w:rsid w:val="00B3094A"/>
    <w:rsid w:val="00B97845"/>
    <w:rsid w:val="00BA541F"/>
    <w:rsid w:val="00BB120C"/>
    <w:rsid w:val="00BD00F8"/>
    <w:rsid w:val="00C1600C"/>
    <w:rsid w:val="00C27A6B"/>
    <w:rsid w:val="00C36B88"/>
    <w:rsid w:val="00C374A1"/>
    <w:rsid w:val="00C379CE"/>
    <w:rsid w:val="00C677AF"/>
    <w:rsid w:val="00C72FC2"/>
    <w:rsid w:val="00C773AC"/>
    <w:rsid w:val="00C9294B"/>
    <w:rsid w:val="00C943DF"/>
    <w:rsid w:val="00CA14BF"/>
    <w:rsid w:val="00CA5A5F"/>
    <w:rsid w:val="00CB0531"/>
    <w:rsid w:val="00CB64F7"/>
    <w:rsid w:val="00CD202A"/>
    <w:rsid w:val="00CE3D01"/>
    <w:rsid w:val="00CE6812"/>
    <w:rsid w:val="00D265C7"/>
    <w:rsid w:val="00D33FD8"/>
    <w:rsid w:val="00D50BA9"/>
    <w:rsid w:val="00D51DD5"/>
    <w:rsid w:val="00D56B90"/>
    <w:rsid w:val="00D6300D"/>
    <w:rsid w:val="00D81BD9"/>
    <w:rsid w:val="00D87AC4"/>
    <w:rsid w:val="00DB0AB8"/>
    <w:rsid w:val="00DD05D6"/>
    <w:rsid w:val="00DE1E63"/>
    <w:rsid w:val="00E26E64"/>
    <w:rsid w:val="00E35321"/>
    <w:rsid w:val="00E478C0"/>
    <w:rsid w:val="00E51DF6"/>
    <w:rsid w:val="00E57652"/>
    <w:rsid w:val="00E765A0"/>
    <w:rsid w:val="00E76E79"/>
    <w:rsid w:val="00E97066"/>
    <w:rsid w:val="00EB53FA"/>
    <w:rsid w:val="00EE54C1"/>
    <w:rsid w:val="00F239FF"/>
    <w:rsid w:val="00F31AA9"/>
    <w:rsid w:val="00F72B15"/>
    <w:rsid w:val="00F8144F"/>
    <w:rsid w:val="00F93A4C"/>
    <w:rsid w:val="00FB3D35"/>
    <w:rsid w:val="00FB4C94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E929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4796</TotalTime>
  <Pages>5</Pages>
  <Words>1072</Words>
  <Characters>6745</Characters>
  <Application>Microsoft Office Word</Application>
  <DocSecurity>0</DocSecurity>
  <Lines>421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115</cp:revision>
  <dcterms:created xsi:type="dcterms:W3CDTF">2017-09-08T09:51:00Z</dcterms:created>
  <dcterms:modified xsi:type="dcterms:W3CDTF">2019-03-15T12:47:00Z</dcterms:modified>
</cp:coreProperties>
</file>